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"/>
        </w:tabs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BAREMA AUTODECLARADO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9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4995"/>
        <w:gridCol w:w="915"/>
        <w:gridCol w:w="945"/>
        <w:tblGridChange w:id="0">
          <w:tblGrid>
            <w:gridCol w:w="2505"/>
            <w:gridCol w:w="4995"/>
            <w:gridCol w:w="915"/>
            <w:gridCol w:w="945"/>
          </w:tblGrid>
        </w:tblGridChange>
      </w:tblGrid>
      <w:tr>
        <w:trPr>
          <w:cantSplit w:val="1"/>
          <w:trHeight w:val="52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Pontuação declarada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1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(não cumulativo, sendo considerada APENAS a maior titulação)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Doutorado em qualquer área de conhecimento reconhecida pelo Mec/Capes (20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3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 em qualquer área de conhecimento reconhecida pelo Mec/Capes (15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7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Pós-graduação Lato-Sensu na área de conhecimento para qual se candidatou reconhecida pelo MEC/CAPES (10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4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Experiência profissional no magistério superior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(cumulativo)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no magistério superior,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EAD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 pontos por semestre – máximo de 20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no magistério superior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 pontos por semestre - máximo 15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3" w:hRule="atLeast"/>
          <w:tblHeader w:val="1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Experiência profissional não acadêmica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Experiência profissional na área e/ou afim ao componente curricular para o qual está concorrendo (10 pontos por ano - máximo 30 pontos)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Experiência em Ambiente Virtual de Aprendizado (AVA) como docente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(cumulativo)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Moodle (5 pontos por semestre - máximo de 15 pontos)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3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Ambientes Virtuais de Aprendizagem, conforme descritos no item 7.7 (2 pontos por semestre - máximo de 10 pontos)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2"/>
        </w:tabs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701" w:left="1701" w:right="1134" w:header="669" w:footer="10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6778943</wp:posOffset>
              </wp:positionH>
              <wp:positionV relativeFrom="paragraph">
                <wp:posOffset>9894253</wp:posOffset>
              </wp:positionV>
              <wp:extent cx="237490" cy="196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2018" y="3686338"/>
                        <a:ext cx="22796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6778943</wp:posOffset>
              </wp:positionH>
              <wp:positionV relativeFrom="paragraph">
                <wp:posOffset>9894253</wp:posOffset>
              </wp:positionV>
              <wp:extent cx="237490" cy="1968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490" cy="19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7722" cy="76907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22" cy="769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ESTADUAL DE CIÊNCIAS DA SAÚDE DE ALAGOAS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Transformada pela Lei n° 6.660, de 28 de dezembro de 2005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Governador Lamenha Filho - Rua Jorge de Lima, 113, Trapiche da Barra, CEP.: 57.010.382, Maceió/AL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DE EDUCAÇÃO A DISTÂNCIA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83" w:line="240" w:lineRule="auto"/>
      <w:ind w:left="755" w:right="0" w:hanging="33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BavAeKTBAx16dfhxT7PeMgraw==">CgMxLjA4AHIhMVp4amNobGRWSi1taGhjLXNGOVlpWUtySDF6VVluTnlS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2025-06-10T00:00:00Z</vt:lpwstr>
  </property>
  <property fmtid="{D5CDD505-2E9C-101B-9397-08002B2CF9AE}" pid="3" name="LastSaved">
    <vt:lpwstr>2026-05-28T00:00:00Z</vt:lpwstr>
  </property>
  <property fmtid="{D5CDD505-2E9C-101B-9397-08002B2CF9AE}" pid="4" name="Producer">
    <vt:lpwstr>Microsoft: Print To PDF</vt:lpwstr>
  </property>
</Properties>
</file>